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93DE" w14:textId="20A209D8" w:rsidR="00E12CE5" w:rsidRPr="005C412E" w:rsidRDefault="00E12CE5" w:rsidP="00E12CE5">
      <w:pPr>
        <w:pStyle w:val="BodyText"/>
        <w:rPr>
          <w:rFonts w:ascii="Times New Roman"/>
          <w:b/>
          <w:sz w:val="20"/>
        </w:rPr>
      </w:pPr>
      <w:r>
        <w:rPr>
          <w:rFonts w:ascii="Times New Roman"/>
          <w:b/>
          <w:sz w:val="20"/>
        </w:rPr>
        <w:t xml:space="preserve">Page 1 0f </w:t>
      </w:r>
      <w:r w:rsidR="00026D83">
        <w:rPr>
          <w:rFonts w:ascii="Times New Roman"/>
          <w:b/>
          <w:sz w:val="20"/>
        </w:rPr>
        <w:t>3</w:t>
      </w:r>
    </w:p>
    <w:p w14:paraId="24338D22" w14:textId="77777777" w:rsidR="00E12CE5" w:rsidRDefault="00E12CE5" w:rsidP="00E12CE5">
      <w:pPr>
        <w:pStyle w:val="BodyText"/>
        <w:spacing w:before="9"/>
        <w:rPr>
          <w:rFonts w:ascii="Times New Roman"/>
          <w:sz w:val="15"/>
        </w:rPr>
      </w:pPr>
    </w:p>
    <w:p w14:paraId="68BA10E3" w14:textId="77777777" w:rsidR="00E12CE5" w:rsidRDefault="00E12CE5" w:rsidP="00E12CE5">
      <w:pPr>
        <w:spacing w:before="44"/>
        <w:ind w:left="2296" w:right="2236"/>
        <w:jc w:val="center"/>
        <w:rPr>
          <w:b/>
          <w:sz w:val="28"/>
        </w:rPr>
      </w:pPr>
      <w:r>
        <w:rPr>
          <w:b/>
          <w:sz w:val="28"/>
        </w:rPr>
        <w:t>SABINE PASS PORT AUTHORITY AGENDA</w:t>
      </w:r>
    </w:p>
    <w:p w14:paraId="4526D5DE" w14:textId="77777777" w:rsidR="00E12CE5" w:rsidRDefault="00E12CE5" w:rsidP="00E12CE5">
      <w:pPr>
        <w:spacing w:before="186"/>
        <w:ind w:left="2296" w:right="2239"/>
        <w:jc w:val="center"/>
        <w:rPr>
          <w:b/>
          <w:sz w:val="44"/>
        </w:rPr>
      </w:pPr>
      <w:r>
        <w:rPr>
          <w:b/>
          <w:sz w:val="44"/>
        </w:rPr>
        <w:t xml:space="preserve">NOTICE OF OPEN MEETING </w:t>
      </w:r>
    </w:p>
    <w:p w14:paraId="7DE773B8" w14:textId="1A958DD0" w:rsidR="00E12CE5" w:rsidRDefault="00E12CE5" w:rsidP="00E12CE5">
      <w:pPr>
        <w:pStyle w:val="BodyText"/>
        <w:spacing w:before="331" w:line="259" w:lineRule="auto"/>
        <w:ind w:left="100"/>
      </w:pPr>
      <w:r>
        <w:rPr>
          <w:b/>
          <w:sz w:val="24"/>
        </w:rPr>
        <w:t xml:space="preserve">NOTICE </w:t>
      </w:r>
      <w:r>
        <w:t xml:space="preserve">is hereby given that a meeting of the Sabine Pass Port Authority Commissioners will be held on </w:t>
      </w:r>
      <w:r>
        <w:rPr>
          <w:b/>
        </w:rPr>
        <w:t xml:space="preserve">Wednesday, </w:t>
      </w:r>
      <w:r w:rsidR="001C763D">
        <w:rPr>
          <w:b/>
        </w:rPr>
        <w:t>August 6</w:t>
      </w:r>
      <w:r>
        <w:rPr>
          <w:b/>
        </w:rPr>
        <w:t xml:space="preserve">, 2025 at 2:00 pm </w:t>
      </w:r>
      <w:r>
        <w:t>in the office of the Sabine Pass Port Authority located at 5960 South First Avenue in Sabine Pass, Texas at which time the following subjects will be discussed and considered or upon which any formal action may be taken are as follows: (any order may be used in meeting) Mailing address is P.O. Box 318, Sabine Pass, TX.  77655</w:t>
      </w:r>
    </w:p>
    <w:p w14:paraId="334F6463" w14:textId="77777777" w:rsidR="00E12CE5" w:rsidRDefault="00E12CE5" w:rsidP="00E12CE5">
      <w:pPr>
        <w:pStyle w:val="BodyText"/>
        <w:spacing w:before="6"/>
        <w:rPr>
          <w:sz w:val="23"/>
        </w:rPr>
      </w:pPr>
    </w:p>
    <w:p w14:paraId="07CAFE43" w14:textId="77777777" w:rsidR="00E12CE5" w:rsidRDefault="00E12CE5" w:rsidP="00E12CE5">
      <w:pPr>
        <w:pStyle w:val="ListParagraph"/>
        <w:numPr>
          <w:ilvl w:val="0"/>
          <w:numId w:val="1"/>
        </w:numPr>
        <w:tabs>
          <w:tab w:val="left" w:pos="420"/>
        </w:tabs>
        <w:spacing w:before="1"/>
        <w:contextualSpacing w:val="0"/>
      </w:pPr>
      <w:r>
        <w:t>Roll Call to establish a quorum.  Meeting called to</w:t>
      </w:r>
      <w:r w:rsidRPr="005D7444">
        <w:rPr>
          <w:spacing w:val="-16"/>
        </w:rPr>
        <w:t xml:space="preserve"> </w:t>
      </w:r>
      <w:r>
        <w:t>order.</w:t>
      </w:r>
    </w:p>
    <w:p w14:paraId="11891115" w14:textId="77777777" w:rsidR="00E12CE5" w:rsidRDefault="00E12CE5" w:rsidP="00E12CE5">
      <w:pPr>
        <w:tabs>
          <w:tab w:val="left" w:pos="420"/>
        </w:tabs>
        <w:spacing w:before="1"/>
        <w:ind w:left="95"/>
      </w:pPr>
    </w:p>
    <w:p w14:paraId="526103B5" w14:textId="77777777" w:rsidR="00E12CE5" w:rsidRDefault="00E12CE5" w:rsidP="00E12CE5">
      <w:pPr>
        <w:pStyle w:val="ListParagraph"/>
        <w:numPr>
          <w:ilvl w:val="0"/>
          <w:numId w:val="1"/>
        </w:numPr>
        <w:tabs>
          <w:tab w:val="left" w:pos="420"/>
        </w:tabs>
        <w:spacing w:before="1"/>
        <w:contextualSpacing w:val="0"/>
      </w:pPr>
      <w:r>
        <w:t xml:space="preserve">Pledge of Allegiance and Prayer </w:t>
      </w:r>
    </w:p>
    <w:p w14:paraId="6ED80F9E" w14:textId="77777777" w:rsidR="00E12CE5" w:rsidRDefault="00E12CE5" w:rsidP="00E12CE5">
      <w:pPr>
        <w:pStyle w:val="ListParagraph"/>
      </w:pPr>
    </w:p>
    <w:p w14:paraId="71DC0A92" w14:textId="699FCD22" w:rsidR="00E12CE5" w:rsidRDefault="00E12CE5" w:rsidP="00E12CE5">
      <w:pPr>
        <w:pStyle w:val="ListParagraph"/>
        <w:numPr>
          <w:ilvl w:val="0"/>
          <w:numId w:val="1"/>
        </w:numPr>
        <w:tabs>
          <w:tab w:val="left" w:pos="420"/>
        </w:tabs>
        <w:spacing w:before="1"/>
        <w:contextualSpacing w:val="0"/>
      </w:pPr>
      <w:r>
        <w:t xml:space="preserve">Discuss, consider, or act on approving minutes from </w:t>
      </w:r>
      <w:r w:rsidR="001C763D">
        <w:t>April 16, 2025, May 14, 2025, May 21, 2025 and June 18, 2025</w:t>
      </w:r>
      <w:r>
        <w:t>. (Action)</w:t>
      </w:r>
    </w:p>
    <w:p w14:paraId="218E6BB7" w14:textId="77777777" w:rsidR="00E12CE5" w:rsidRDefault="00E12CE5" w:rsidP="00E12CE5">
      <w:pPr>
        <w:pStyle w:val="ListParagraph"/>
      </w:pPr>
    </w:p>
    <w:p w14:paraId="6FC71BE0" w14:textId="77777777" w:rsidR="00E12CE5" w:rsidRPr="003830CD" w:rsidRDefault="00E12CE5" w:rsidP="00E12CE5">
      <w:pPr>
        <w:pStyle w:val="ListParagraph"/>
        <w:numPr>
          <w:ilvl w:val="0"/>
          <w:numId w:val="1"/>
        </w:numPr>
        <w:tabs>
          <w:tab w:val="left" w:pos="418"/>
        </w:tabs>
        <w:spacing w:before="1" w:line="259" w:lineRule="auto"/>
        <w:ind w:right="108"/>
        <w:contextualSpacing w:val="0"/>
      </w:pPr>
      <w:r w:rsidRPr="003830CD">
        <w:t xml:space="preserve">Public Comments (5) minutes per speaker. Speakers should be respectful, concise, and follow basic,   </w:t>
      </w:r>
    </w:p>
    <w:p w14:paraId="44855CC2" w14:textId="77777777" w:rsidR="00E12CE5" w:rsidRPr="003830CD" w:rsidRDefault="00E12CE5" w:rsidP="00E12CE5">
      <w:pPr>
        <w:pStyle w:val="ListParagraph"/>
        <w:tabs>
          <w:tab w:val="left" w:pos="418"/>
        </w:tabs>
        <w:spacing w:before="1" w:line="259" w:lineRule="auto"/>
        <w:ind w:left="455" w:right="108"/>
      </w:pPr>
      <w:r w:rsidRPr="003830CD">
        <w:t xml:space="preserve">decorum avoiding inflammatory language or personal insult. A speaker is to announce their name and   topic in which they are speaking. Remaining time is forfeited once a speaker concludes their  </w:t>
      </w:r>
    </w:p>
    <w:p w14:paraId="06BE3BBD" w14:textId="405122C4" w:rsidR="000375AF" w:rsidRPr="003830CD" w:rsidRDefault="00E12CE5" w:rsidP="00E12CE5">
      <w:r w:rsidRPr="003830CD">
        <w:t xml:space="preserve">         comment. Commissioners are statutorily limited on response at this time. (No</w:t>
      </w:r>
      <w:r w:rsidRPr="003830CD">
        <w:rPr>
          <w:spacing w:val="-24"/>
        </w:rPr>
        <w:t xml:space="preserve"> </w:t>
      </w:r>
      <w:r w:rsidRPr="003830CD">
        <w:t>Action)</w:t>
      </w:r>
    </w:p>
    <w:p w14:paraId="089E1D4D" w14:textId="4663A71C" w:rsidR="00FC3F44" w:rsidRPr="00D35D3E" w:rsidRDefault="00FC3F44" w:rsidP="00D35D3E">
      <w:pPr>
        <w:pStyle w:val="ListParagraph"/>
        <w:widowControl/>
        <w:numPr>
          <w:ilvl w:val="0"/>
          <w:numId w:val="1"/>
        </w:numPr>
        <w:autoSpaceDE/>
        <w:autoSpaceDN/>
        <w:spacing w:before="100" w:beforeAutospacing="1" w:after="100" w:afterAutospacing="1"/>
        <w:rPr>
          <w:rFonts w:eastAsia="Times New Roman"/>
          <w:color w:val="000000"/>
          <w:sz w:val="24"/>
          <w:szCs w:val="24"/>
        </w:rPr>
      </w:pPr>
      <w:r w:rsidRPr="00D35D3E">
        <w:rPr>
          <w:rFonts w:eastAsia="Times New Roman"/>
          <w:color w:val="000000"/>
        </w:rPr>
        <w:t>Discuss, consider, or act on the immediate suspension of all current and future services provided by Duane Gordy and/or his company CDS, including the cancellation of ongoing work and a temporary hold on any pending payments. With total expenditures exceeding $589,005 since July 2023—and more than $73,000 paid out since June 2, 2025—this action is proposed to ensure fiscal responsibility and maintain transparency. The suspension would remain in effect until the audit authorized at the June meeting is completed and formally reviewed by the board, at which time the board will determine the appropriate next steps regarding the necessity and scope of any continued services from Mr. Gordy and/or CDS. </w:t>
      </w:r>
    </w:p>
    <w:p w14:paraId="1D712D62" w14:textId="77777777" w:rsidR="00D35D3E" w:rsidRPr="00D35D3E" w:rsidRDefault="00D35D3E" w:rsidP="00D35D3E">
      <w:pPr>
        <w:pStyle w:val="ListParagraph"/>
        <w:widowControl/>
        <w:autoSpaceDE/>
        <w:autoSpaceDN/>
        <w:spacing w:before="100" w:beforeAutospacing="1" w:after="100" w:afterAutospacing="1"/>
        <w:ind w:left="455"/>
        <w:rPr>
          <w:rFonts w:eastAsia="Times New Roman"/>
          <w:color w:val="000000"/>
          <w:sz w:val="24"/>
          <w:szCs w:val="24"/>
        </w:rPr>
      </w:pPr>
    </w:p>
    <w:p w14:paraId="66F65E07" w14:textId="3DD691E1" w:rsidR="00D35D3E" w:rsidRPr="00D35D3E" w:rsidRDefault="00D35D3E" w:rsidP="00D35D3E">
      <w:pPr>
        <w:pStyle w:val="ListParagraph"/>
        <w:widowControl/>
        <w:numPr>
          <w:ilvl w:val="0"/>
          <w:numId w:val="1"/>
        </w:numPr>
        <w:autoSpaceDE/>
        <w:autoSpaceDN/>
        <w:spacing w:before="100" w:beforeAutospacing="1" w:after="100" w:afterAutospacing="1"/>
        <w:rPr>
          <w:rFonts w:eastAsia="Times New Roman"/>
          <w:color w:val="000000"/>
          <w:sz w:val="24"/>
          <w:szCs w:val="24"/>
        </w:rPr>
      </w:pPr>
      <w:r w:rsidRPr="00D35D3E">
        <w:rPr>
          <w:rFonts w:eastAsia="Times New Roman"/>
          <w:color w:val="000000"/>
        </w:rPr>
        <w:t>Discuss, consider, or act on canceling the Letter of Agreement with Ron Lewis &amp; Associates regarding governmental representation through lobbying efforts in support of the reconstruction of SH-87 and proposed changes to the Enabling Act, both of which have been deemed unsuccessful. The agreement, executed on December 2, 2024, and set to run through November 30, 2026, commits the SPPA to twenty-four monthly payments of $5,000, totaling $120,000. Given the lack of progress and return on investment, the Board should evaluate the cancellation clause outlined in the agreement and explore the possibility of negotiating a mutual written termination that waives remaining compensation, with guidance and support from Sabine Pass Port Authority legal counsel.</w:t>
      </w:r>
    </w:p>
    <w:p w14:paraId="0217E345" w14:textId="77777777" w:rsidR="00F57149" w:rsidRPr="00F57149" w:rsidRDefault="00F57149" w:rsidP="00F57149">
      <w:pPr>
        <w:widowControl/>
        <w:autoSpaceDE/>
        <w:autoSpaceDN/>
        <w:spacing w:after="100" w:afterAutospacing="1"/>
        <w:ind w:left="455"/>
        <w:rPr>
          <w:rFonts w:eastAsia="Times New Roman"/>
          <w:color w:val="000000"/>
          <w:sz w:val="24"/>
          <w:szCs w:val="24"/>
        </w:rPr>
      </w:pPr>
    </w:p>
    <w:p w14:paraId="32409D11" w14:textId="24B773C6" w:rsidR="00F57149" w:rsidRDefault="00F57149" w:rsidP="00F57149">
      <w:pPr>
        <w:pStyle w:val="BodyText"/>
        <w:ind w:left="455"/>
        <w:rPr>
          <w:rFonts w:ascii="Times New Roman"/>
          <w:b/>
          <w:sz w:val="20"/>
        </w:rPr>
      </w:pPr>
      <w:r>
        <w:rPr>
          <w:rFonts w:ascii="Times New Roman"/>
          <w:b/>
          <w:sz w:val="20"/>
        </w:rPr>
        <w:t xml:space="preserve">Page 2 0f </w:t>
      </w:r>
      <w:r w:rsidR="00026D83">
        <w:rPr>
          <w:rFonts w:ascii="Times New Roman"/>
          <w:b/>
          <w:sz w:val="20"/>
        </w:rPr>
        <w:t>3</w:t>
      </w:r>
    </w:p>
    <w:p w14:paraId="035A1768" w14:textId="77777777" w:rsidR="00F57149" w:rsidRPr="00F57149" w:rsidRDefault="00F57149" w:rsidP="00F57149">
      <w:pPr>
        <w:widowControl/>
        <w:autoSpaceDE/>
        <w:autoSpaceDN/>
        <w:spacing w:after="100" w:afterAutospacing="1"/>
        <w:ind w:left="455"/>
        <w:rPr>
          <w:rFonts w:eastAsia="Times New Roman"/>
          <w:color w:val="000000"/>
          <w:sz w:val="24"/>
          <w:szCs w:val="24"/>
        </w:rPr>
      </w:pPr>
    </w:p>
    <w:p w14:paraId="4EC231EA" w14:textId="6976885C" w:rsidR="00D35D3E" w:rsidRDefault="00D35D3E" w:rsidP="0038623A">
      <w:pPr>
        <w:widowControl/>
        <w:numPr>
          <w:ilvl w:val="0"/>
          <w:numId w:val="1"/>
        </w:numPr>
        <w:autoSpaceDE/>
        <w:autoSpaceDN/>
        <w:spacing w:after="100" w:afterAutospacing="1"/>
        <w:rPr>
          <w:rFonts w:eastAsia="Times New Roman"/>
          <w:color w:val="000000"/>
          <w:sz w:val="24"/>
          <w:szCs w:val="24"/>
        </w:rPr>
      </w:pPr>
      <w:r w:rsidRPr="00D35D3E">
        <w:rPr>
          <w:rFonts w:eastAsia="Times New Roman"/>
          <w:color w:val="000000"/>
        </w:rPr>
        <w:t>Discuss, consider, or act on terminating all current and future work with Cameron Cruse and any associated business entities under her control related to marketing, data services, social media account management, and other related functions. Since October 1, 2024, over $27,500 has been expended for marketing services for the Sabine Pass Port Authority and Fisherman's Cottage, while the revenue generated by the Fisherman's Cottage remains lower, resulting in a net loss. Additionally, there is no oversight mechanism in place to ensure that the services rendered align with the SPPA Marketing Plan, recently developed by the Port Manager, nor justification for the associated costs, particularly concerning data management and expected deliverables. </w:t>
      </w:r>
    </w:p>
    <w:p w14:paraId="0F05E71F" w14:textId="77777777" w:rsidR="0038623A" w:rsidRPr="0038623A" w:rsidRDefault="0038623A" w:rsidP="0038623A">
      <w:pPr>
        <w:widowControl/>
        <w:autoSpaceDE/>
        <w:autoSpaceDN/>
        <w:spacing w:after="100" w:afterAutospacing="1"/>
        <w:ind w:left="455"/>
        <w:rPr>
          <w:rFonts w:eastAsia="Times New Roman"/>
          <w:color w:val="000000"/>
          <w:sz w:val="24"/>
          <w:szCs w:val="24"/>
        </w:rPr>
      </w:pPr>
    </w:p>
    <w:p w14:paraId="49198087" w14:textId="5C6F1FE5" w:rsidR="00D35D3E" w:rsidRPr="0038623A" w:rsidRDefault="00D35D3E" w:rsidP="0038623A">
      <w:pPr>
        <w:pStyle w:val="ListParagraph"/>
        <w:widowControl/>
        <w:numPr>
          <w:ilvl w:val="0"/>
          <w:numId w:val="1"/>
        </w:numPr>
        <w:autoSpaceDE/>
        <w:autoSpaceDN/>
        <w:spacing w:after="100" w:afterAutospacing="1"/>
        <w:rPr>
          <w:rFonts w:eastAsia="Times New Roman"/>
          <w:color w:val="000000"/>
          <w:sz w:val="24"/>
          <w:szCs w:val="24"/>
        </w:rPr>
      </w:pPr>
      <w:r w:rsidRPr="0038623A">
        <w:rPr>
          <w:rFonts w:eastAsia="Times New Roman"/>
          <w:color w:val="000000"/>
        </w:rPr>
        <w:t>Discuss, consider, or act on evaluating and establishing a strategic and formalized approach to managing the Port’s social media platforms, data systems, and overall marketing efforts. This includes reviewing current practices, considering updates to staff responsibilities, and exploring revisions to existing policies and procedures aimed at enhancing public outreach, improving operational efficiency, and strengthening community engagement.</w:t>
      </w:r>
    </w:p>
    <w:p w14:paraId="03F9E43D" w14:textId="37A6D271" w:rsidR="00D35D3E" w:rsidRPr="00D35D3E" w:rsidRDefault="00D35D3E" w:rsidP="0038623A">
      <w:pPr>
        <w:pStyle w:val="ListParagraph"/>
        <w:tabs>
          <w:tab w:val="left" w:pos="461"/>
        </w:tabs>
        <w:ind w:left="455" w:right="320"/>
      </w:pPr>
    </w:p>
    <w:p w14:paraId="24B59D2D" w14:textId="77777777" w:rsidR="00D35D3E" w:rsidRDefault="00D35D3E" w:rsidP="00D35D3E">
      <w:pPr>
        <w:pStyle w:val="ListParagraph"/>
      </w:pPr>
    </w:p>
    <w:p w14:paraId="7B4EFE0B" w14:textId="32CF13A0" w:rsidR="0038623A" w:rsidRPr="00734A27" w:rsidRDefault="0038623A" w:rsidP="0038623A">
      <w:pPr>
        <w:pStyle w:val="ListParagraph"/>
        <w:widowControl/>
        <w:numPr>
          <w:ilvl w:val="0"/>
          <w:numId w:val="1"/>
        </w:numPr>
        <w:autoSpaceDE/>
        <w:autoSpaceDN/>
        <w:spacing w:before="100" w:beforeAutospacing="1" w:after="100" w:afterAutospacing="1"/>
        <w:rPr>
          <w:rFonts w:eastAsia="Times New Roman"/>
          <w:color w:val="000000"/>
          <w:sz w:val="24"/>
          <w:szCs w:val="24"/>
        </w:rPr>
      </w:pPr>
      <w:r w:rsidRPr="0038623A">
        <w:rPr>
          <w:rFonts w:eastAsia="Times New Roman"/>
          <w:color w:val="000000"/>
        </w:rPr>
        <w:t>Discuss, consider, or act on evaluating vessel compatibility alongside the main bulkhead dock for larger vessels, i.e., shrimping and crew boats. Given the size and operational characteristics of these vessels and the structural limitations of the dock design, ongoing damage has been observed that warrants a formal assessment of the suitability and sustainability of this activity.</w:t>
      </w:r>
    </w:p>
    <w:p w14:paraId="1992471A" w14:textId="50F13E34" w:rsidR="00E12CE5" w:rsidRPr="00DC28AB" w:rsidRDefault="00DC28AB" w:rsidP="00DC28AB">
      <w:pPr>
        <w:widowControl/>
        <w:autoSpaceDE/>
        <w:autoSpaceDN/>
        <w:spacing w:before="100" w:beforeAutospacing="1" w:after="100" w:afterAutospacing="1"/>
        <w:rPr>
          <w:rFonts w:eastAsia="Times New Roman"/>
          <w:color w:val="000000"/>
          <w:sz w:val="24"/>
          <w:szCs w:val="24"/>
        </w:rPr>
      </w:pPr>
      <w:r>
        <w:rPr>
          <w:rFonts w:eastAsia="Times New Roman"/>
          <w:color w:val="000000"/>
        </w:rPr>
        <w:t>1</w:t>
      </w:r>
      <w:r w:rsidR="00026D83">
        <w:rPr>
          <w:rFonts w:eastAsia="Times New Roman"/>
          <w:color w:val="000000"/>
        </w:rPr>
        <w:t>0</w:t>
      </w:r>
      <w:r>
        <w:rPr>
          <w:rFonts w:eastAsia="Times New Roman"/>
          <w:color w:val="000000"/>
        </w:rPr>
        <w:t xml:space="preserve">.   </w:t>
      </w:r>
      <w:r w:rsidR="00E12CE5" w:rsidRPr="003830CD">
        <w:rPr>
          <w:rFonts w:ascii="Helvetica" w:eastAsia="Times New Roman" w:hAnsi="Helvetica" w:cs="Helvetica"/>
          <w:color w:val="000000"/>
        </w:rPr>
        <w:t>Discuss, consider, or act on a request from Moran Towing Corporation to lease land potential solutions for dredging. (Action)</w:t>
      </w:r>
    </w:p>
    <w:p w14:paraId="05215EB3" w14:textId="6E4C814A" w:rsidR="00E12CE5" w:rsidRPr="003830CD" w:rsidRDefault="006C5E65" w:rsidP="006C5E65">
      <w:pPr>
        <w:pStyle w:val="PlainText"/>
        <w:rPr>
          <w:rFonts w:eastAsia="Times New Roman"/>
          <w:szCs w:val="22"/>
        </w:rPr>
      </w:pPr>
      <w:r w:rsidRPr="003830CD">
        <w:rPr>
          <w:rFonts w:ascii="Helvetica" w:eastAsia="Times New Roman" w:hAnsi="Helvetica" w:cs="Helvetica"/>
          <w:color w:val="000000"/>
          <w:szCs w:val="22"/>
        </w:rPr>
        <w:t>1</w:t>
      </w:r>
      <w:r w:rsidR="00026D83">
        <w:rPr>
          <w:rFonts w:ascii="Helvetica" w:eastAsia="Times New Roman" w:hAnsi="Helvetica" w:cs="Helvetica"/>
          <w:color w:val="000000"/>
          <w:szCs w:val="22"/>
        </w:rPr>
        <w:t>1</w:t>
      </w:r>
      <w:r w:rsidRPr="003830CD">
        <w:rPr>
          <w:rFonts w:ascii="Helvetica" w:eastAsia="Times New Roman" w:hAnsi="Helvetica" w:cs="Helvetica"/>
          <w:color w:val="000000"/>
          <w:szCs w:val="22"/>
        </w:rPr>
        <w:t xml:space="preserve">. </w:t>
      </w:r>
      <w:r w:rsidR="00DC28AB">
        <w:rPr>
          <w:rFonts w:ascii="Helvetica" w:eastAsia="Times New Roman" w:hAnsi="Helvetica" w:cs="Helvetica"/>
          <w:color w:val="000000"/>
          <w:szCs w:val="22"/>
        </w:rPr>
        <w:t xml:space="preserve"> </w:t>
      </w:r>
      <w:r w:rsidR="00E12CE5" w:rsidRPr="003830CD">
        <w:rPr>
          <w:rFonts w:ascii="Helvetica" w:eastAsia="Times New Roman" w:hAnsi="Helvetica" w:cs="Helvetica"/>
          <w:color w:val="000000"/>
          <w:szCs w:val="22"/>
        </w:rPr>
        <w:t>Discuss, consider, or act on any other land leases being considered.  (Action)</w:t>
      </w:r>
    </w:p>
    <w:p w14:paraId="6C3AA648" w14:textId="77777777" w:rsidR="00E12CE5" w:rsidRPr="003830CD" w:rsidRDefault="00E12CE5" w:rsidP="00E12CE5">
      <w:pPr>
        <w:pStyle w:val="ListParagraph"/>
      </w:pPr>
    </w:p>
    <w:p w14:paraId="69B9E607" w14:textId="59580F72" w:rsidR="00E12CE5" w:rsidRP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1</w:t>
      </w:r>
      <w:r w:rsidR="00026D83">
        <w:rPr>
          <w:rFonts w:ascii="Helvetica" w:eastAsia="Times New Roman" w:hAnsi="Helvetica" w:cs="Helvetica"/>
          <w:color w:val="000000"/>
        </w:rPr>
        <w:t>2</w:t>
      </w:r>
      <w:r w:rsidR="00DC28AB">
        <w:rPr>
          <w:rFonts w:ascii="Helvetica" w:eastAsia="Times New Roman" w:hAnsi="Helvetica" w:cs="Helvetica"/>
          <w:color w:val="000000"/>
        </w:rPr>
        <w:t>.</w:t>
      </w:r>
      <w:r w:rsidRPr="003830CD">
        <w:rPr>
          <w:rFonts w:ascii="Helvetica" w:eastAsia="Times New Roman" w:hAnsi="Helvetica" w:cs="Helvetica"/>
          <w:color w:val="000000"/>
        </w:rPr>
        <w:t xml:space="preserve"> </w:t>
      </w:r>
      <w:r w:rsidR="00DC28AB">
        <w:rPr>
          <w:rFonts w:ascii="Helvetica" w:eastAsia="Times New Roman" w:hAnsi="Helvetica" w:cs="Helvetica"/>
          <w:color w:val="000000"/>
        </w:rPr>
        <w:t xml:space="preserve"> </w:t>
      </w:r>
      <w:r w:rsidR="00E12CE5" w:rsidRPr="003830CD">
        <w:rPr>
          <w:rFonts w:ascii="Helvetica" w:eastAsia="Times New Roman" w:hAnsi="Helvetica" w:cs="Helvetica"/>
          <w:color w:val="000000"/>
        </w:rPr>
        <w:t>Discuss, consider, or act on SPPA Financial Report. (Action)</w:t>
      </w:r>
    </w:p>
    <w:p w14:paraId="1BBA90EF" w14:textId="77777777" w:rsidR="00E12CE5" w:rsidRPr="003830CD" w:rsidRDefault="00E12CE5" w:rsidP="00E12CE5">
      <w:pPr>
        <w:pStyle w:val="ListParagraph"/>
        <w:rPr>
          <w:rFonts w:ascii="Helvetica" w:eastAsia="Times New Roman" w:hAnsi="Helvetica" w:cs="Helvetica"/>
          <w:color w:val="000000"/>
        </w:rPr>
      </w:pPr>
    </w:p>
    <w:p w14:paraId="5F56D400" w14:textId="43DA646D" w:rsidR="00E12CE5" w:rsidRP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1</w:t>
      </w:r>
      <w:r w:rsidR="00026D83">
        <w:rPr>
          <w:rFonts w:ascii="Helvetica" w:eastAsia="Times New Roman" w:hAnsi="Helvetica" w:cs="Helvetica"/>
          <w:color w:val="000000"/>
        </w:rPr>
        <w:t>3</w:t>
      </w:r>
      <w:r w:rsidRPr="003830CD">
        <w:rPr>
          <w:rFonts w:ascii="Helvetica" w:eastAsia="Times New Roman" w:hAnsi="Helvetica" w:cs="Helvetica"/>
          <w:color w:val="000000"/>
        </w:rPr>
        <w:t xml:space="preserve">. </w:t>
      </w:r>
      <w:r w:rsidR="00DC28AB">
        <w:rPr>
          <w:rFonts w:ascii="Helvetica" w:eastAsia="Times New Roman" w:hAnsi="Helvetica" w:cs="Helvetica"/>
          <w:color w:val="000000"/>
        </w:rPr>
        <w:t xml:space="preserve"> </w:t>
      </w:r>
      <w:r w:rsidR="00E12CE5" w:rsidRPr="003830CD">
        <w:rPr>
          <w:rFonts w:ascii="Helvetica" w:eastAsia="Times New Roman" w:hAnsi="Helvetica" w:cs="Helvetica"/>
          <w:color w:val="000000"/>
        </w:rPr>
        <w:t>Discuss, consider, or act on SPPA Managers Report. (Action)</w:t>
      </w:r>
    </w:p>
    <w:p w14:paraId="210FE02A" w14:textId="77777777" w:rsidR="00E12CE5" w:rsidRPr="003830CD" w:rsidRDefault="00E12CE5" w:rsidP="00E12CE5">
      <w:pPr>
        <w:pStyle w:val="ListParagraph"/>
        <w:rPr>
          <w:rFonts w:ascii="Helvetica" w:eastAsia="Times New Roman" w:hAnsi="Helvetica" w:cs="Helvetica"/>
          <w:color w:val="000000"/>
        </w:rPr>
      </w:pPr>
    </w:p>
    <w:p w14:paraId="2FCEC4F8" w14:textId="6A2338A8" w:rsidR="003830CD" w:rsidRPr="00026D83" w:rsidRDefault="00DC28AB" w:rsidP="003830CD">
      <w:pPr>
        <w:shd w:val="clear" w:color="auto" w:fill="FFFFFF"/>
        <w:rPr>
          <w:rFonts w:ascii="Helvetica" w:hAnsi="Helvetica" w:cs="Helvetica"/>
        </w:rPr>
      </w:pPr>
      <w:r>
        <w:rPr>
          <w:rFonts w:ascii="Helvetica" w:hAnsi="Helvetica" w:cs="Helvetica"/>
        </w:rPr>
        <w:t>1</w:t>
      </w:r>
      <w:r w:rsidR="00026D83">
        <w:rPr>
          <w:rFonts w:ascii="Helvetica" w:hAnsi="Helvetica" w:cs="Helvetica"/>
        </w:rPr>
        <w:t>4</w:t>
      </w:r>
      <w:r w:rsidR="006C5E65" w:rsidRPr="003830CD">
        <w:rPr>
          <w:rFonts w:ascii="Helvetica" w:hAnsi="Helvetica" w:cs="Helvetica"/>
        </w:rPr>
        <w:t xml:space="preserve">. </w:t>
      </w:r>
      <w:r w:rsidR="00E12CE5" w:rsidRPr="00026D83">
        <w:rPr>
          <w:rFonts w:ascii="Helvetica" w:hAnsi="Helvetica" w:cs="Helvetica"/>
        </w:rPr>
        <w:t xml:space="preserve">Discuss, consider, or act on facility repairs, maintenance, upkeep of any/all property </w:t>
      </w:r>
      <w:r w:rsidR="003830CD" w:rsidRPr="00026D83">
        <w:rPr>
          <w:rFonts w:ascii="Helvetica" w:hAnsi="Helvetica" w:cs="Helvetica"/>
        </w:rPr>
        <w:t xml:space="preserve"> </w:t>
      </w:r>
    </w:p>
    <w:p w14:paraId="3ADD4E09" w14:textId="3324F6CA" w:rsidR="003830CD" w:rsidRPr="00026D83" w:rsidRDefault="003830CD" w:rsidP="003830CD">
      <w:pPr>
        <w:shd w:val="clear" w:color="auto" w:fill="FFFFFF"/>
        <w:rPr>
          <w:rFonts w:ascii="Helvetica" w:hAnsi="Helvetica" w:cs="Helvetica"/>
        </w:rPr>
      </w:pPr>
      <w:r w:rsidRPr="00026D83">
        <w:rPr>
          <w:rFonts w:ascii="Helvetica" w:hAnsi="Helvetica" w:cs="Helvetica"/>
        </w:rPr>
        <w:t xml:space="preserve">      </w:t>
      </w:r>
      <w:r w:rsidR="00E12CE5" w:rsidRPr="00026D83">
        <w:rPr>
          <w:rFonts w:ascii="Helvetica" w:hAnsi="Helvetica" w:cs="Helvetica"/>
        </w:rPr>
        <w:t>including th</w:t>
      </w:r>
      <w:r w:rsidRPr="00026D83">
        <w:rPr>
          <w:rFonts w:ascii="Helvetica" w:hAnsi="Helvetica" w:cs="Helvetica"/>
        </w:rPr>
        <w:t>e</w:t>
      </w:r>
      <w:r w:rsidR="006C5E65" w:rsidRPr="00026D83">
        <w:rPr>
          <w:rFonts w:ascii="Helvetica" w:hAnsi="Helvetica" w:cs="Helvetica"/>
        </w:rPr>
        <w:t xml:space="preserve"> </w:t>
      </w:r>
      <w:r w:rsidR="00E12CE5" w:rsidRPr="00026D83">
        <w:rPr>
          <w:rFonts w:ascii="Helvetica" w:hAnsi="Helvetica" w:cs="Helvetica"/>
        </w:rPr>
        <w:t xml:space="preserve">purchase of equipment, electronics, motorized vehicles, vessels owned/not </w:t>
      </w:r>
    </w:p>
    <w:p w14:paraId="333F3F16" w14:textId="23A1DD3F" w:rsidR="00E12CE5" w:rsidRPr="00026D83" w:rsidRDefault="003830CD" w:rsidP="003830CD">
      <w:pPr>
        <w:shd w:val="clear" w:color="auto" w:fill="FFFFFF"/>
        <w:rPr>
          <w:rFonts w:ascii="Helvetica" w:eastAsia="Times New Roman" w:hAnsi="Helvetica" w:cs="Helvetica"/>
          <w:color w:val="000000"/>
        </w:rPr>
      </w:pPr>
      <w:r w:rsidRPr="00026D83">
        <w:rPr>
          <w:rFonts w:ascii="Helvetica" w:hAnsi="Helvetica" w:cs="Helvetica"/>
        </w:rPr>
        <w:t xml:space="preserve">      </w:t>
      </w:r>
      <w:r w:rsidR="00E12CE5" w:rsidRPr="00026D83">
        <w:rPr>
          <w:rFonts w:ascii="Helvetica" w:hAnsi="Helvetica" w:cs="Helvetica"/>
        </w:rPr>
        <w:t>owned by the SPPA.</w:t>
      </w:r>
      <w:r w:rsidR="00E12CE5" w:rsidRPr="00026D83">
        <w:rPr>
          <w:rFonts w:ascii="Helvetica" w:hAnsi="Helvetica" w:cs="Helvetica"/>
          <w:spacing w:val="-26"/>
        </w:rPr>
        <w:t xml:space="preserve">   </w:t>
      </w:r>
      <w:r w:rsidRPr="00026D83">
        <w:rPr>
          <w:rFonts w:ascii="Helvetica" w:hAnsi="Helvetica" w:cs="Helvetica"/>
        </w:rPr>
        <w:t xml:space="preserve"> </w:t>
      </w:r>
      <w:r w:rsidR="00E12CE5" w:rsidRPr="00026D83">
        <w:rPr>
          <w:rFonts w:ascii="Helvetica" w:hAnsi="Helvetica" w:cs="Helvetica"/>
        </w:rPr>
        <w:t>(Action)</w:t>
      </w:r>
    </w:p>
    <w:p w14:paraId="23206468" w14:textId="77777777" w:rsidR="00FE76EF" w:rsidRDefault="00FE76EF" w:rsidP="00FE76EF">
      <w:pPr>
        <w:pStyle w:val="BodyText"/>
        <w:rPr>
          <w:rFonts w:ascii="Times New Roman"/>
          <w:b/>
          <w:sz w:val="20"/>
        </w:rPr>
      </w:pPr>
    </w:p>
    <w:p w14:paraId="439DA5D1" w14:textId="77777777" w:rsidR="00FE76EF" w:rsidRDefault="00FE76EF" w:rsidP="00FE76EF">
      <w:pPr>
        <w:pStyle w:val="BodyText"/>
        <w:rPr>
          <w:rFonts w:ascii="Times New Roman"/>
          <w:b/>
          <w:sz w:val="20"/>
        </w:rPr>
      </w:pPr>
    </w:p>
    <w:p w14:paraId="57C71035" w14:textId="77777777" w:rsidR="00026D83" w:rsidRDefault="00026D83" w:rsidP="00FE76EF">
      <w:pPr>
        <w:tabs>
          <w:tab w:val="left" w:pos="480"/>
        </w:tabs>
        <w:ind w:hanging="100"/>
      </w:pPr>
    </w:p>
    <w:p w14:paraId="5A267607" w14:textId="77777777" w:rsidR="00026D83" w:rsidRDefault="00026D83" w:rsidP="00FE76EF">
      <w:pPr>
        <w:tabs>
          <w:tab w:val="left" w:pos="480"/>
        </w:tabs>
        <w:ind w:hanging="100"/>
      </w:pPr>
    </w:p>
    <w:p w14:paraId="37BC2857" w14:textId="77777777" w:rsidR="00026D83" w:rsidRDefault="00026D83" w:rsidP="00FE76EF">
      <w:pPr>
        <w:tabs>
          <w:tab w:val="left" w:pos="480"/>
        </w:tabs>
        <w:ind w:hanging="100"/>
      </w:pPr>
    </w:p>
    <w:p w14:paraId="50E4F5CA" w14:textId="77777777" w:rsidR="00026D83" w:rsidRDefault="00026D83" w:rsidP="00FE76EF">
      <w:pPr>
        <w:tabs>
          <w:tab w:val="left" w:pos="480"/>
        </w:tabs>
        <w:ind w:hanging="100"/>
      </w:pPr>
    </w:p>
    <w:p w14:paraId="3A99DE60" w14:textId="77777777" w:rsidR="00026D83" w:rsidRDefault="00026D83" w:rsidP="00FE76EF">
      <w:pPr>
        <w:tabs>
          <w:tab w:val="left" w:pos="480"/>
        </w:tabs>
        <w:ind w:hanging="100"/>
      </w:pPr>
    </w:p>
    <w:p w14:paraId="3D11D37F" w14:textId="77777777" w:rsidR="00026D83" w:rsidRDefault="00026D83" w:rsidP="00FE76EF">
      <w:pPr>
        <w:tabs>
          <w:tab w:val="left" w:pos="480"/>
        </w:tabs>
        <w:ind w:hanging="100"/>
      </w:pPr>
    </w:p>
    <w:p w14:paraId="0FB190BA" w14:textId="5A9CBAE8" w:rsidR="00026D83" w:rsidRDefault="00026D83" w:rsidP="00026D83">
      <w:pPr>
        <w:pStyle w:val="BodyText"/>
        <w:ind w:left="455"/>
        <w:rPr>
          <w:rFonts w:ascii="Times New Roman"/>
          <w:b/>
          <w:sz w:val="20"/>
        </w:rPr>
      </w:pPr>
      <w:r>
        <w:rPr>
          <w:rFonts w:ascii="Times New Roman"/>
          <w:b/>
          <w:sz w:val="20"/>
        </w:rPr>
        <w:t>Page 3 0f 3</w:t>
      </w:r>
    </w:p>
    <w:p w14:paraId="3AA4E879" w14:textId="77777777" w:rsidR="00026D83" w:rsidRDefault="00026D83" w:rsidP="00FE76EF">
      <w:pPr>
        <w:tabs>
          <w:tab w:val="left" w:pos="480"/>
        </w:tabs>
        <w:ind w:hanging="100"/>
      </w:pPr>
    </w:p>
    <w:p w14:paraId="6AEFE1AD" w14:textId="77777777" w:rsidR="00026D83" w:rsidRDefault="00026D83" w:rsidP="00FE76EF">
      <w:pPr>
        <w:tabs>
          <w:tab w:val="left" w:pos="480"/>
        </w:tabs>
        <w:ind w:hanging="100"/>
      </w:pPr>
    </w:p>
    <w:p w14:paraId="4B0CE9BE" w14:textId="6FEB8D9E" w:rsidR="00FE76EF" w:rsidRPr="00EE4E28" w:rsidRDefault="00026D83" w:rsidP="00FE76EF">
      <w:pPr>
        <w:tabs>
          <w:tab w:val="left" w:pos="480"/>
        </w:tabs>
        <w:ind w:hanging="100"/>
        <w:rPr>
          <w:rFonts w:ascii="Helvetica" w:hAnsi="Helvetica" w:cs="Helvetica"/>
          <w:sz w:val="20"/>
          <w:szCs w:val="20"/>
        </w:rPr>
      </w:pPr>
      <w:r>
        <w:t>15</w:t>
      </w:r>
      <w:r w:rsidR="00775138">
        <w:t xml:space="preserve">.  </w:t>
      </w:r>
      <w:r w:rsidR="00FE76EF">
        <w:t>Adjournment</w:t>
      </w:r>
      <w:r w:rsidR="00FE76EF" w:rsidRPr="00EE4E28">
        <w:rPr>
          <w:spacing w:val="-5"/>
        </w:rPr>
        <w:t xml:space="preserve"> </w:t>
      </w:r>
      <w:r w:rsidR="00FE76EF">
        <w:t>to</w:t>
      </w:r>
      <w:r w:rsidR="00FE76EF" w:rsidRPr="00EE4E28">
        <w:rPr>
          <w:spacing w:val="-4"/>
        </w:rPr>
        <w:t xml:space="preserve"> </w:t>
      </w:r>
      <w:r w:rsidR="00FE76EF">
        <w:t>closed</w:t>
      </w:r>
      <w:r w:rsidR="00FE76EF" w:rsidRPr="00EE4E28">
        <w:rPr>
          <w:spacing w:val="-6"/>
        </w:rPr>
        <w:t xml:space="preserve"> </w:t>
      </w:r>
      <w:r w:rsidR="00FE76EF">
        <w:t>or</w:t>
      </w:r>
      <w:r w:rsidR="00FE76EF" w:rsidRPr="00EE4E28">
        <w:rPr>
          <w:spacing w:val="-3"/>
        </w:rPr>
        <w:t xml:space="preserve"> </w:t>
      </w:r>
      <w:r w:rsidR="00FE76EF">
        <w:t>executive</w:t>
      </w:r>
      <w:r w:rsidR="00FE76EF" w:rsidRPr="00EE4E28">
        <w:rPr>
          <w:spacing w:val="-2"/>
        </w:rPr>
        <w:t xml:space="preserve"> </w:t>
      </w:r>
      <w:r w:rsidR="00FE76EF">
        <w:t>session</w:t>
      </w:r>
      <w:r w:rsidR="00FE76EF" w:rsidRPr="00EE4E28">
        <w:rPr>
          <w:spacing w:val="-7"/>
        </w:rPr>
        <w:t xml:space="preserve"> </w:t>
      </w:r>
      <w:r w:rsidR="00FE76EF">
        <w:t>pursuant</w:t>
      </w:r>
      <w:r w:rsidR="00FE76EF" w:rsidRPr="00EE4E28">
        <w:rPr>
          <w:spacing w:val="-3"/>
        </w:rPr>
        <w:t xml:space="preserve"> </w:t>
      </w:r>
      <w:r w:rsidR="00FE76EF">
        <w:t>to</w:t>
      </w:r>
      <w:r w:rsidR="00FE76EF" w:rsidRPr="00EE4E28">
        <w:rPr>
          <w:spacing w:val="-4"/>
        </w:rPr>
        <w:t xml:space="preserve"> </w:t>
      </w:r>
      <w:r w:rsidR="00FE76EF">
        <w:t>Texas</w:t>
      </w:r>
      <w:r w:rsidR="00FE76EF" w:rsidRPr="00EE4E28">
        <w:rPr>
          <w:spacing w:val="-3"/>
        </w:rPr>
        <w:t xml:space="preserve"> </w:t>
      </w:r>
      <w:r w:rsidR="00FE76EF">
        <w:t>Gov’t</w:t>
      </w:r>
      <w:r w:rsidR="00FE76EF" w:rsidRPr="00EE4E28">
        <w:rPr>
          <w:spacing w:val="-2"/>
        </w:rPr>
        <w:t xml:space="preserve"> </w:t>
      </w:r>
      <w:r w:rsidR="00FE76EF">
        <w:t>Code</w:t>
      </w:r>
      <w:r w:rsidR="00FE76EF" w:rsidRPr="00EE4E28">
        <w:rPr>
          <w:spacing w:val="-5"/>
        </w:rPr>
        <w:t xml:space="preserve"> </w:t>
      </w:r>
      <w:r w:rsidR="00FE76EF">
        <w:t>Section</w:t>
      </w:r>
      <w:r w:rsidR="00FE76EF" w:rsidRPr="00EE4E28">
        <w:rPr>
          <w:spacing w:val="-4"/>
        </w:rPr>
        <w:t xml:space="preserve"> </w:t>
      </w:r>
      <w:r w:rsidR="00FE76EF">
        <w:t>551.071,</w:t>
      </w:r>
      <w:r w:rsidR="00FE76EF" w:rsidRPr="00EE4E28">
        <w:rPr>
          <w:spacing w:val="-5"/>
        </w:rPr>
        <w:t xml:space="preserve"> </w:t>
      </w:r>
      <w:r w:rsidR="00FE76EF">
        <w:t>551.072,</w:t>
      </w:r>
    </w:p>
    <w:p w14:paraId="496FFB4F" w14:textId="699BD755" w:rsidR="00FE76EF" w:rsidRDefault="00775138" w:rsidP="00FE76EF">
      <w:pPr>
        <w:pStyle w:val="BodyText"/>
        <w:spacing w:before="22"/>
        <w:ind w:left="100"/>
      </w:pPr>
      <w:r>
        <w:t xml:space="preserve">    </w:t>
      </w:r>
      <w:r w:rsidR="00FE76EF">
        <w:t>551.073, 551.074, and 551.087 of the Texas Open Meeting Act, for the following purposes.</w:t>
      </w:r>
    </w:p>
    <w:p w14:paraId="6808E502" w14:textId="77777777" w:rsidR="00FE76EF" w:rsidRDefault="00FE76EF" w:rsidP="00FE76EF">
      <w:pPr>
        <w:pStyle w:val="BodyText"/>
        <w:spacing w:before="180" w:line="259" w:lineRule="auto"/>
        <w:ind w:left="100" w:right="549"/>
      </w:pPr>
      <w:r>
        <w:rPr>
          <w:u w:val="single"/>
        </w:rPr>
        <w:t>Legal Matter</w:t>
      </w:r>
      <w:r>
        <w:t>-551.071-Private consultation with Boards attorney regarding (i)privileged matters authorized by law to be discussed in closed or executive session under Texas Disciplinary Rules of Professional Conduct and the Texas Open Meetings Act and (ii) pending or contemplated litigation.</w:t>
      </w:r>
    </w:p>
    <w:p w14:paraId="3846595D" w14:textId="77777777" w:rsidR="00FE76EF" w:rsidRDefault="00FE76EF" w:rsidP="00FE76EF">
      <w:pPr>
        <w:pStyle w:val="BodyText"/>
        <w:spacing w:before="161" w:line="259" w:lineRule="auto"/>
        <w:ind w:left="100" w:right="683"/>
      </w:pPr>
      <w:r>
        <w:rPr>
          <w:u w:val="single"/>
        </w:rPr>
        <w:t>Real Estate</w:t>
      </w:r>
      <w:r>
        <w:t>-551.072- For the purpose of discussing the purchase, exchange, lease, or value of real property.</w:t>
      </w:r>
    </w:p>
    <w:p w14:paraId="7DDF243E" w14:textId="77777777" w:rsidR="00FE76EF" w:rsidRDefault="00FE76EF" w:rsidP="00FE76EF">
      <w:pPr>
        <w:pStyle w:val="BodyText"/>
        <w:spacing w:before="159" w:line="259" w:lineRule="auto"/>
        <w:ind w:left="100" w:right="161"/>
      </w:pPr>
      <w:r>
        <w:rPr>
          <w:u w:val="single"/>
        </w:rPr>
        <w:t>Personnel Matters</w:t>
      </w:r>
      <w:r>
        <w:t>-551.074- For the purpose of considering the appointment, employment, evaluation, or reassignment, duties, discipline or dismissal of a public officer or employee or to hear complaints or charges against a public officer or employee.</w:t>
      </w:r>
    </w:p>
    <w:p w14:paraId="747E4818" w14:textId="77777777" w:rsidR="00FE76EF" w:rsidRDefault="00FE76EF" w:rsidP="00FE76EF">
      <w:pPr>
        <w:pStyle w:val="BodyText"/>
        <w:spacing w:before="159" w:line="259" w:lineRule="auto"/>
        <w:ind w:left="100" w:right="91"/>
      </w:pPr>
      <w:r>
        <w:rPr>
          <w:u w:val="single"/>
        </w:rPr>
        <w:t>Economic Growth</w:t>
      </w:r>
      <w:r>
        <w:t>- 551.087-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2BA0BE60" w14:textId="77777777" w:rsidR="00FE76EF" w:rsidRDefault="00FE76EF" w:rsidP="00FE76EF">
      <w:pPr>
        <w:pStyle w:val="BodyText"/>
        <w:spacing w:before="159" w:line="259" w:lineRule="auto"/>
        <w:ind w:left="100" w:right="282"/>
      </w:pPr>
      <w:r>
        <w:rPr>
          <w:u w:val="single"/>
        </w:rPr>
        <w:t>Gift or donation</w:t>
      </w:r>
      <w:r>
        <w:t>- 551.073- For the purpose of considering a negotiated contract for prospective gift or donation.</w:t>
      </w:r>
    </w:p>
    <w:p w14:paraId="50B433E1" w14:textId="77777777" w:rsidR="00FE76EF" w:rsidRDefault="00FE76EF" w:rsidP="00FE76EF">
      <w:pPr>
        <w:spacing w:line="267" w:lineRule="exact"/>
        <w:ind w:left="100"/>
        <w:rPr>
          <w:b/>
        </w:rPr>
      </w:pPr>
      <w:r>
        <w:t>(</w:t>
      </w:r>
      <w:r>
        <w:rPr>
          <w:b/>
        </w:rPr>
        <w:t>Any Action will be taken in an open session.)</w:t>
      </w:r>
    </w:p>
    <w:p w14:paraId="2C3711C3" w14:textId="77777777" w:rsidR="00FE76EF" w:rsidRDefault="00FE76EF" w:rsidP="00FE76EF">
      <w:pPr>
        <w:pStyle w:val="BodyText"/>
        <w:rPr>
          <w:b/>
        </w:rPr>
      </w:pPr>
    </w:p>
    <w:p w14:paraId="107052BA" w14:textId="77777777" w:rsidR="00F57149" w:rsidRDefault="00F57149" w:rsidP="00FE76EF">
      <w:pPr>
        <w:pStyle w:val="BodyText"/>
      </w:pPr>
    </w:p>
    <w:p w14:paraId="034C9088" w14:textId="77777777" w:rsidR="00F57149" w:rsidRDefault="00F57149" w:rsidP="00FE76EF">
      <w:pPr>
        <w:pStyle w:val="BodyText"/>
      </w:pPr>
    </w:p>
    <w:p w14:paraId="1F4604D3" w14:textId="7E6B2618" w:rsidR="00FE76EF" w:rsidRDefault="00026D83" w:rsidP="00FE76EF">
      <w:pPr>
        <w:pStyle w:val="BodyText"/>
      </w:pPr>
      <w:r>
        <w:t>16</w:t>
      </w:r>
      <w:r w:rsidR="00775138">
        <w:t xml:space="preserve">. </w:t>
      </w:r>
      <w:r w:rsidR="00FE76EF">
        <w:t>Reconvene to open session.</w:t>
      </w:r>
      <w:r w:rsidR="00FE76EF" w:rsidRPr="00000E7F">
        <w:rPr>
          <w:spacing w:val="-15"/>
        </w:rPr>
        <w:t xml:space="preserve"> </w:t>
      </w:r>
      <w:r w:rsidR="00FE76EF">
        <w:t>(Action)</w:t>
      </w:r>
    </w:p>
    <w:p w14:paraId="2FF5C876" w14:textId="77777777" w:rsidR="00775138" w:rsidRDefault="00775138" w:rsidP="00FE76EF">
      <w:pPr>
        <w:pStyle w:val="BodyText"/>
      </w:pPr>
    </w:p>
    <w:p w14:paraId="59CC4690" w14:textId="6E1E3F7D" w:rsidR="00775138" w:rsidRPr="00775138" w:rsidRDefault="00026D83" w:rsidP="00775138">
      <w:pPr>
        <w:tabs>
          <w:tab w:val="left" w:pos="480"/>
        </w:tabs>
        <w:rPr>
          <w:rFonts w:ascii="Helvetica" w:hAnsi="Helvetica" w:cs="Helvetica"/>
          <w:sz w:val="20"/>
          <w:szCs w:val="20"/>
        </w:rPr>
      </w:pPr>
      <w:r>
        <w:rPr>
          <w:rFonts w:ascii="Helvetica" w:eastAsia="Times New Roman" w:hAnsi="Helvetica" w:cs="Helvetica"/>
          <w:color w:val="000000"/>
          <w:sz w:val="20"/>
          <w:szCs w:val="20"/>
        </w:rPr>
        <w:t>17</w:t>
      </w:r>
      <w:r w:rsidR="00775138">
        <w:rPr>
          <w:rFonts w:ascii="Helvetica" w:eastAsia="Times New Roman" w:hAnsi="Helvetica" w:cs="Helvetica"/>
          <w:color w:val="000000"/>
          <w:sz w:val="20"/>
          <w:szCs w:val="20"/>
        </w:rPr>
        <w:t xml:space="preserve">. </w:t>
      </w:r>
      <w:r w:rsidR="00775138" w:rsidRPr="00775138">
        <w:rPr>
          <w:rFonts w:ascii="Helvetica" w:eastAsia="Times New Roman" w:hAnsi="Helvetica" w:cs="Helvetica"/>
          <w:color w:val="000000"/>
          <w:sz w:val="20"/>
          <w:szCs w:val="20"/>
        </w:rPr>
        <w:t>Pay</w:t>
      </w:r>
      <w:r w:rsidR="00775138" w:rsidRPr="00775138">
        <w:rPr>
          <w:rFonts w:ascii="Helvetica" w:hAnsi="Helvetica" w:cs="Helvetica"/>
          <w:sz w:val="20"/>
          <w:szCs w:val="20"/>
        </w:rPr>
        <w:t xml:space="preserve"> Bills (Action)</w:t>
      </w:r>
      <w:r w:rsidR="00775138" w:rsidRPr="00775138">
        <w:rPr>
          <w:rFonts w:ascii="Helvetica" w:eastAsia="Times New Roman" w:hAnsi="Helvetica" w:cs="Helvetica"/>
          <w:color w:val="000000"/>
          <w:sz w:val="20"/>
          <w:szCs w:val="20"/>
        </w:rPr>
        <w:t xml:space="preserve">. </w:t>
      </w:r>
    </w:p>
    <w:p w14:paraId="0CBBEFB6" w14:textId="77777777" w:rsidR="00775138" w:rsidRPr="00210421" w:rsidRDefault="00775138" w:rsidP="00775138">
      <w:pPr>
        <w:tabs>
          <w:tab w:val="left" w:pos="483"/>
        </w:tabs>
        <w:ind w:left="180"/>
        <w:rPr>
          <w:rFonts w:ascii="Helvetica" w:eastAsia="Times New Roman" w:hAnsi="Helvetica" w:cs="Helvetica"/>
          <w:color w:val="000000"/>
          <w:sz w:val="20"/>
          <w:szCs w:val="20"/>
        </w:rPr>
      </w:pPr>
    </w:p>
    <w:p w14:paraId="20E7D417" w14:textId="17F6CD7E" w:rsidR="00775138" w:rsidRPr="00775138" w:rsidRDefault="00026D83" w:rsidP="00775138">
      <w:pPr>
        <w:tabs>
          <w:tab w:val="left" w:pos="483"/>
        </w:tabs>
        <w:rPr>
          <w:rFonts w:ascii="Helvetica" w:hAnsi="Helvetica" w:cs="Helvetica"/>
          <w:sz w:val="20"/>
          <w:szCs w:val="20"/>
        </w:rPr>
      </w:pPr>
      <w:r>
        <w:rPr>
          <w:rFonts w:ascii="Helvetica" w:hAnsi="Helvetica" w:cs="Helvetica"/>
          <w:sz w:val="20"/>
          <w:szCs w:val="20"/>
        </w:rPr>
        <w:t>18</w:t>
      </w:r>
      <w:r w:rsidR="00775138">
        <w:rPr>
          <w:rFonts w:ascii="Helvetica" w:hAnsi="Helvetica" w:cs="Helvetica"/>
          <w:sz w:val="20"/>
          <w:szCs w:val="20"/>
        </w:rPr>
        <w:t xml:space="preserve">. </w:t>
      </w:r>
      <w:r w:rsidR="00775138" w:rsidRPr="00775138">
        <w:rPr>
          <w:rFonts w:ascii="Helvetica" w:hAnsi="Helvetica" w:cs="Helvetica"/>
          <w:sz w:val="20"/>
          <w:szCs w:val="20"/>
        </w:rPr>
        <w:t>Adjournment</w:t>
      </w:r>
      <w:r w:rsidR="00775138" w:rsidRPr="00775138">
        <w:rPr>
          <w:rFonts w:ascii="Helvetica" w:hAnsi="Helvetica" w:cs="Helvetica"/>
          <w:spacing w:val="-9"/>
          <w:sz w:val="20"/>
          <w:szCs w:val="20"/>
        </w:rPr>
        <w:t xml:space="preserve"> </w:t>
      </w:r>
      <w:r w:rsidR="00775138" w:rsidRPr="00775138">
        <w:rPr>
          <w:rFonts w:ascii="Helvetica" w:hAnsi="Helvetica" w:cs="Helvetica"/>
          <w:sz w:val="20"/>
          <w:szCs w:val="20"/>
        </w:rPr>
        <w:t>(Action)</w:t>
      </w:r>
    </w:p>
    <w:p w14:paraId="78C027F4" w14:textId="77777777" w:rsidR="00775138" w:rsidRPr="004B0A5E" w:rsidRDefault="00775138" w:rsidP="00775138">
      <w:pPr>
        <w:pStyle w:val="ListParagraph"/>
        <w:tabs>
          <w:tab w:val="left" w:pos="483"/>
        </w:tabs>
        <w:ind w:left="90"/>
        <w:rPr>
          <w:rFonts w:ascii="Helvetica" w:hAnsi="Helvetica" w:cs="Helvetica"/>
          <w:sz w:val="20"/>
          <w:szCs w:val="20"/>
        </w:rPr>
      </w:pPr>
    </w:p>
    <w:p w14:paraId="7EC9C548" w14:textId="77777777" w:rsidR="00775138" w:rsidRPr="00210421" w:rsidRDefault="00775138" w:rsidP="00775138">
      <w:pPr>
        <w:tabs>
          <w:tab w:val="left" w:pos="480"/>
        </w:tabs>
        <w:ind w:left="-219"/>
        <w:rPr>
          <w:rFonts w:ascii="Helvetica" w:hAnsi="Helvetica" w:cs="Helvetica"/>
          <w:sz w:val="20"/>
          <w:szCs w:val="20"/>
        </w:rPr>
      </w:pPr>
    </w:p>
    <w:p w14:paraId="1DA24EEC" w14:textId="77777777" w:rsidR="00775138" w:rsidRDefault="00775138" w:rsidP="00775138">
      <w:pPr>
        <w:pStyle w:val="BodyText"/>
        <w:rPr>
          <w:rFonts w:ascii="Helvetica" w:hAnsi="Helvetica" w:cs="Helvetica"/>
          <w:sz w:val="20"/>
          <w:szCs w:val="20"/>
        </w:rPr>
      </w:pPr>
    </w:p>
    <w:p w14:paraId="05828AE3" w14:textId="77777777" w:rsidR="00DC28AB" w:rsidRDefault="00DC28AB" w:rsidP="00775138">
      <w:pPr>
        <w:pStyle w:val="BodyText"/>
        <w:rPr>
          <w:rFonts w:ascii="Helvetica" w:hAnsi="Helvetica" w:cs="Helvetica"/>
          <w:sz w:val="20"/>
          <w:szCs w:val="20"/>
        </w:rPr>
      </w:pPr>
    </w:p>
    <w:p w14:paraId="111BC21A" w14:textId="77777777" w:rsidR="00DC28AB" w:rsidRDefault="00DC28AB" w:rsidP="00775138">
      <w:pPr>
        <w:pStyle w:val="BodyText"/>
        <w:rPr>
          <w:rFonts w:ascii="Helvetica" w:hAnsi="Helvetica" w:cs="Helvetica"/>
          <w:sz w:val="20"/>
          <w:szCs w:val="20"/>
        </w:rPr>
      </w:pPr>
    </w:p>
    <w:p w14:paraId="76BA7FA2" w14:textId="7C16C8A1" w:rsidR="00775138" w:rsidRPr="00210421" w:rsidRDefault="00775138" w:rsidP="00775138">
      <w:pPr>
        <w:pStyle w:val="BodyText"/>
        <w:rPr>
          <w:rFonts w:ascii="Helvetica" w:hAnsi="Helvetica" w:cs="Helvetica"/>
          <w:sz w:val="20"/>
          <w:szCs w:val="20"/>
        </w:rPr>
      </w:pPr>
      <w:r w:rsidRPr="00210421">
        <w:rPr>
          <w:rFonts w:ascii="Helvetica" w:hAnsi="Helvetica" w:cs="Helvetica"/>
          <w:sz w:val="20"/>
          <w:szCs w:val="20"/>
        </w:rPr>
        <w:t>The Notice for this meeting was posted in compliance with the Texas Open Meeting Act on:</w:t>
      </w:r>
    </w:p>
    <w:p w14:paraId="6BBF6A20" w14:textId="77777777" w:rsidR="00775138" w:rsidRPr="00210421" w:rsidRDefault="00775138" w:rsidP="00775138">
      <w:pPr>
        <w:pStyle w:val="BodyText"/>
        <w:tabs>
          <w:tab w:val="left" w:pos="4700"/>
          <w:tab w:val="left" w:pos="7005"/>
        </w:tabs>
        <w:spacing w:before="18" w:line="259" w:lineRule="auto"/>
        <w:ind w:left="100" w:right="102"/>
        <w:rPr>
          <w:rFonts w:ascii="Helvetica" w:hAnsi="Helvetica" w:cs="Helvetica"/>
          <w:sz w:val="20"/>
          <w:szCs w:val="20"/>
        </w:rPr>
      </w:pPr>
      <w:r w:rsidRPr="00210421">
        <w:rPr>
          <w:rFonts w:ascii="Helvetica" w:hAnsi="Helvetica" w:cs="Helvetica"/>
          <w:sz w:val="20"/>
          <w:szCs w:val="20"/>
          <w:u w:val="single"/>
        </w:rPr>
        <w:t xml:space="preserve"> </w:t>
      </w:r>
      <w:r w:rsidRPr="00210421">
        <w:rPr>
          <w:rFonts w:ascii="Helvetica" w:hAnsi="Helvetica" w:cs="Helvetica"/>
          <w:sz w:val="20"/>
          <w:szCs w:val="20"/>
          <w:u w:val="single"/>
        </w:rPr>
        <w:tab/>
      </w:r>
      <w:r w:rsidRPr="00210421">
        <w:rPr>
          <w:rFonts w:ascii="Helvetica" w:hAnsi="Helvetica" w:cs="Helvetica"/>
          <w:sz w:val="20"/>
          <w:szCs w:val="20"/>
        </w:rPr>
        <w:t>at</w:t>
      </w:r>
      <w:r w:rsidRPr="00210421">
        <w:rPr>
          <w:rFonts w:ascii="Helvetica" w:hAnsi="Helvetica" w:cs="Helvetica"/>
          <w:spacing w:val="-3"/>
          <w:sz w:val="20"/>
          <w:szCs w:val="20"/>
        </w:rPr>
        <w:t xml:space="preserve"> </w:t>
      </w:r>
      <w:r w:rsidRPr="00210421">
        <w:rPr>
          <w:rFonts w:ascii="Helvetica" w:hAnsi="Helvetica" w:cs="Helvetica"/>
          <w:sz w:val="20"/>
          <w:szCs w:val="20"/>
        </w:rPr>
        <w:t>(time)</w:t>
      </w:r>
      <w:r w:rsidRPr="00210421">
        <w:rPr>
          <w:rFonts w:ascii="Helvetica" w:hAnsi="Helvetica" w:cs="Helvetica"/>
          <w:sz w:val="20"/>
          <w:szCs w:val="20"/>
          <w:u w:val="single"/>
        </w:rPr>
        <w:t xml:space="preserve"> </w:t>
      </w:r>
      <w:r w:rsidRPr="00210421">
        <w:rPr>
          <w:rFonts w:ascii="Helvetica" w:hAnsi="Helvetica" w:cs="Helvetica"/>
          <w:sz w:val="20"/>
          <w:szCs w:val="20"/>
          <w:u w:val="single"/>
        </w:rPr>
        <w:tab/>
      </w:r>
      <w:r w:rsidRPr="00210421">
        <w:rPr>
          <w:rFonts w:ascii="Helvetica" w:hAnsi="Helvetica" w:cs="Helvetica"/>
          <w:sz w:val="20"/>
          <w:szCs w:val="20"/>
        </w:rPr>
        <w:t>, at a place</w:t>
      </w:r>
      <w:r w:rsidRPr="00210421">
        <w:rPr>
          <w:rFonts w:ascii="Helvetica" w:hAnsi="Helvetica" w:cs="Helvetica"/>
          <w:spacing w:val="-6"/>
          <w:sz w:val="20"/>
          <w:szCs w:val="20"/>
        </w:rPr>
        <w:t xml:space="preserve"> </w:t>
      </w:r>
      <w:r w:rsidRPr="00210421">
        <w:rPr>
          <w:rFonts w:ascii="Helvetica" w:hAnsi="Helvetica" w:cs="Helvetica"/>
          <w:sz w:val="20"/>
          <w:szCs w:val="20"/>
        </w:rPr>
        <w:t>convenient</w:t>
      </w:r>
      <w:r w:rsidRPr="00210421">
        <w:rPr>
          <w:rFonts w:ascii="Helvetica" w:hAnsi="Helvetica" w:cs="Helvetica"/>
          <w:spacing w:val="-3"/>
          <w:sz w:val="20"/>
          <w:szCs w:val="20"/>
        </w:rPr>
        <w:t xml:space="preserve"> </w:t>
      </w:r>
      <w:r w:rsidRPr="00210421">
        <w:rPr>
          <w:rFonts w:ascii="Helvetica" w:hAnsi="Helvetica" w:cs="Helvetica"/>
          <w:sz w:val="20"/>
          <w:szCs w:val="20"/>
        </w:rPr>
        <w:t>to the public at the offices of the Sabine Pass Port Authority located at 5960 South First Avenue, Sabine Pass, Texas, the Port Authority’s website, and is readily accessible to the public upon</w:t>
      </w:r>
      <w:r w:rsidRPr="00210421">
        <w:rPr>
          <w:rFonts w:ascii="Helvetica" w:hAnsi="Helvetica" w:cs="Helvetica"/>
          <w:spacing w:val="-19"/>
          <w:sz w:val="20"/>
          <w:szCs w:val="20"/>
        </w:rPr>
        <w:t xml:space="preserve"> </w:t>
      </w:r>
      <w:r w:rsidRPr="00210421">
        <w:rPr>
          <w:rFonts w:ascii="Helvetica" w:hAnsi="Helvetica" w:cs="Helvetica"/>
          <w:sz w:val="20"/>
          <w:szCs w:val="20"/>
        </w:rPr>
        <w:t>request.</w:t>
      </w:r>
    </w:p>
    <w:p w14:paraId="29574CA1" w14:textId="77777777" w:rsidR="00775138" w:rsidRPr="00210421" w:rsidRDefault="00775138" w:rsidP="00775138">
      <w:pPr>
        <w:pStyle w:val="BodyText"/>
        <w:rPr>
          <w:rFonts w:ascii="Helvetica" w:hAnsi="Helvetica" w:cs="Helvetica"/>
          <w:sz w:val="20"/>
          <w:szCs w:val="20"/>
        </w:rPr>
      </w:pPr>
    </w:p>
    <w:p w14:paraId="152391D6" w14:textId="77777777" w:rsidR="00775138" w:rsidRPr="00210421" w:rsidRDefault="00775138" w:rsidP="00775138">
      <w:pPr>
        <w:tabs>
          <w:tab w:val="left" w:pos="3938"/>
        </w:tabs>
        <w:spacing w:before="83"/>
        <w:ind w:left="100"/>
        <w:rPr>
          <w:rFonts w:ascii="Helvetica" w:hAnsi="Helvetica" w:cs="Helvetica"/>
          <w:sz w:val="20"/>
          <w:szCs w:val="20"/>
        </w:rPr>
      </w:pPr>
      <w:r w:rsidRPr="00210421">
        <w:rPr>
          <w:rFonts w:ascii="Helvetica" w:hAnsi="Helvetica" w:cs="Helvetica"/>
          <w:spacing w:val="15"/>
          <w:w w:val="99"/>
          <w:sz w:val="20"/>
          <w:szCs w:val="20"/>
          <w:u w:val="thick"/>
        </w:rPr>
        <w:t xml:space="preserve"> </w:t>
      </w:r>
      <w:r w:rsidRPr="00210421">
        <w:rPr>
          <w:rFonts w:ascii="Helvetica" w:hAnsi="Helvetica" w:cs="Helvetica"/>
          <w:sz w:val="20"/>
          <w:szCs w:val="20"/>
          <w:u w:val="thick"/>
        </w:rPr>
        <w:t>X</w:t>
      </w:r>
      <w:r w:rsidRPr="00210421">
        <w:rPr>
          <w:rFonts w:ascii="Helvetica" w:hAnsi="Helvetica" w:cs="Helvetica"/>
          <w:sz w:val="20"/>
          <w:szCs w:val="20"/>
          <w:u w:val="thick"/>
        </w:rPr>
        <w:tab/>
      </w:r>
    </w:p>
    <w:p w14:paraId="762EA07F" w14:textId="691A1D62" w:rsidR="00026D83" w:rsidRDefault="00775138" w:rsidP="00775138">
      <w:pPr>
        <w:spacing w:before="69" w:line="268" w:lineRule="auto"/>
        <w:ind w:left="250" w:right="7432"/>
        <w:rPr>
          <w:rFonts w:ascii="Helvetica" w:hAnsi="Helvetica" w:cs="Helvetica"/>
          <w:w w:val="105"/>
          <w:sz w:val="20"/>
          <w:szCs w:val="20"/>
        </w:rPr>
      </w:pPr>
      <w:r w:rsidRPr="00210421">
        <w:rPr>
          <w:rFonts w:ascii="Helvetica" w:hAnsi="Helvetica" w:cs="Helvetica"/>
          <w:w w:val="105"/>
          <w:sz w:val="20"/>
          <w:szCs w:val="20"/>
        </w:rPr>
        <w:t xml:space="preserve">SPPA- </w:t>
      </w:r>
      <w:r w:rsidR="00026D83">
        <w:rPr>
          <w:rFonts w:ascii="Helvetica" w:hAnsi="Helvetica" w:cs="Helvetica"/>
          <w:w w:val="105"/>
          <w:sz w:val="20"/>
          <w:szCs w:val="20"/>
        </w:rPr>
        <w:t>BobSexton</w:t>
      </w:r>
    </w:p>
    <w:p w14:paraId="02F6D24E" w14:textId="6B534FF0" w:rsidR="00E12CE5" w:rsidRPr="00775138" w:rsidRDefault="00026D83" w:rsidP="00775138">
      <w:pPr>
        <w:spacing w:before="69" w:line="268" w:lineRule="auto"/>
        <w:ind w:left="250" w:right="7432"/>
        <w:rPr>
          <w:rFonts w:ascii="Helvetica" w:hAnsi="Helvetica" w:cs="Helvetica"/>
          <w:sz w:val="20"/>
          <w:szCs w:val="20"/>
        </w:rPr>
      </w:pPr>
      <w:r>
        <w:rPr>
          <w:rFonts w:ascii="Helvetica" w:hAnsi="Helvetica" w:cs="Helvetica"/>
          <w:w w:val="105"/>
          <w:sz w:val="20"/>
          <w:szCs w:val="20"/>
        </w:rPr>
        <w:t>Vice-Chairperson</w:t>
      </w:r>
    </w:p>
    <w:sectPr w:rsidR="00E12CE5" w:rsidRPr="00775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39B9F" w14:textId="77777777" w:rsidR="009861F7" w:rsidRDefault="009861F7" w:rsidP="00DC28AB">
      <w:r>
        <w:separator/>
      </w:r>
    </w:p>
  </w:endnote>
  <w:endnote w:type="continuationSeparator" w:id="0">
    <w:p w14:paraId="24E58759" w14:textId="77777777" w:rsidR="009861F7" w:rsidRDefault="009861F7" w:rsidP="00DC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73E8" w14:textId="77777777" w:rsidR="009861F7" w:rsidRDefault="009861F7" w:rsidP="00DC28AB">
      <w:r>
        <w:separator/>
      </w:r>
    </w:p>
  </w:footnote>
  <w:footnote w:type="continuationSeparator" w:id="0">
    <w:p w14:paraId="2B8DDD46" w14:textId="77777777" w:rsidR="009861F7" w:rsidRDefault="009861F7" w:rsidP="00DC2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5132"/>
    <w:multiLevelType w:val="hybridMultilevel"/>
    <w:tmpl w:val="1400A3E0"/>
    <w:lvl w:ilvl="0" w:tplc="B94E623E">
      <w:start w:val="7"/>
      <w:numFmt w:val="decimal"/>
      <w:lvlText w:val="%1."/>
      <w:lvlJc w:val="left"/>
      <w:pPr>
        <w:ind w:left="2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076D6"/>
    <w:multiLevelType w:val="multilevel"/>
    <w:tmpl w:val="7EB20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2481B"/>
    <w:multiLevelType w:val="multilevel"/>
    <w:tmpl w:val="D108C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5014C"/>
    <w:multiLevelType w:val="multilevel"/>
    <w:tmpl w:val="F072D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2496A"/>
    <w:multiLevelType w:val="multilevel"/>
    <w:tmpl w:val="7B24A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83453"/>
    <w:multiLevelType w:val="multilevel"/>
    <w:tmpl w:val="23E8C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3601F"/>
    <w:multiLevelType w:val="multilevel"/>
    <w:tmpl w:val="A47A8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F7D94"/>
    <w:multiLevelType w:val="hybridMultilevel"/>
    <w:tmpl w:val="F47A93FC"/>
    <w:lvl w:ilvl="0" w:tplc="DF58F538">
      <w:start w:val="8"/>
      <w:numFmt w:val="decimal"/>
      <w:lvlText w:val="%1."/>
      <w:lvlJc w:val="left"/>
      <w:pPr>
        <w:ind w:left="455" w:hanging="360"/>
      </w:pPr>
      <w:rPr>
        <w:rFonts w:hint="default"/>
        <w:i/>
        <w:sz w:val="22"/>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8" w15:restartNumberingAfterBreak="0">
    <w:nsid w:val="4A00286F"/>
    <w:multiLevelType w:val="multilevel"/>
    <w:tmpl w:val="C054E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03831"/>
    <w:multiLevelType w:val="multilevel"/>
    <w:tmpl w:val="F2FC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33497"/>
    <w:multiLevelType w:val="multilevel"/>
    <w:tmpl w:val="6740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51A71"/>
    <w:multiLevelType w:val="hybridMultilevel"/>
    <w:tmpl w:val="0E7E5416"/>
    <w:lvl w:ilvl="0" w:tplc="F1BC5940">
      <w:start w:val="8"/>
      <w:numFmt w:val="decimal"/>
      <w:lvlText w:val="%1."/>
      <w:lvlJc w:val="left"/>
      <w:pPr>
        <w:ind w:left="1034"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12" w15:restartNumberingAfterBreak="0">
    <w:nsid w:val="7FE2642B"/>
    <w:multiLevelType w:val="hybridMultilevel"/>
    <w:tmpl w:val="CE6A5090"/>
    <w:lvl w:ilvl="0" w:tplc="E34EBCE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16cid:durableId="363596572">
    <w:abstractNumId w:val="12"/>
  </w:num>
  <w:num w:numId="2" w16cid:durableId="918750844">
    <w:abstractNumId w:val="11"/>
  </w:num>
  <w:num w:numId="3" w16cid:durableId="802767589">
    <w:abstractNumId w:val="0"/>
  </w:num>
  <w:num w:numId="4" w16cid:durableId="35936697">
    <w:abstractNumId w:val="1"/>
  </w:num>
  <w:num w:numId="5" w16cid:durableId="635449803">
    <w:abstractNumId w:val="5"/>
  </w:num>
  <w:num w:numId="6" w16cid:durableId="1386488217">
    <w:abstractNumId w:val="10"/>
  </w:num>
  <w:num w:numId="7" w16cid:durableId="2029794346">
    <w:abstractNumId w:val="8"/>
  </w:num>
  <w:num w:numId="8" w16cid:durableId="544365556">
    <w:abstractNumId w:val="7"/>
  </w:num>
  <w:num w:numId="9" w16cid:durableId="1349286010">
    <w:abstractNumId w:val="6"/>
  </w:num>
  <w:num w:numId="10" w16cid:durableId="988438666">
    <w:abstractNumId w:val="3"/>
  </w:num>
  <w:num w:numId="11" w16cid:durableId="348260425">
    <w:abstractNumId w:val="2"/>
  </w:num>
  <w:num w:numId="12" w16cid:durableId="202329839">
    <w:abstractNumId w:val="4"/>
  </w:num>
  <w:num w:numId="13" w16cid:durableId="1041250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E5"/>
    <w:rsid w:val="00026D83"/>
    <w:rsid w:val="000375AF"/>
    <w:rsid w:val="0011616E"/>
    <w:rsid w:val="001C1415"/>
    <w:rsid w:val="001C763D"/>
    <w:rsid w:val="002630D8"/>
    <w:rsid w:val="00367145"/>
    <w:rsid w:val="003830CD"/>
    <w:rsid w:val="0038623A"/>
    <w:rsid w:val="004E63A5"/>
    <w:rsid w:val="006C5E65"/>
    <w:rsid w:val="006E0E12"/>
    <w:rsid w:val="00734A27"/>
    <w:rsid w:val="00775138"/>
    <w:rsid w:val="007D1FAE"/>
    <w:rsid w:val="007D311C"/>
    <w:rsid w:val="00892114"/>
    <w:rsid w:val="009861F7"/>
    <w:rsid w:val="009A5713"/>
    <w:rsid w:val="00A4759D"/>
    <w:rsid w:val="00B0328D"/>
    <w:rsid w:val="00B51C38"/>
    <w:rsid w:val="00B7534E"/>
    <w:rsid w:val="00C87A40"/>
    <w:rsid w:val="00D35D3E"/>
    <w:rsid w:val="00DC28AB"/>
    <w:rsid w:val="00DF64DF"/>
    <w:rsid w:val="00E12CE5"/>
    <w:rsid w:val="00F57149"/>
    <w:rsid w:val="00FC3F44"/>
    <w:rsid w:val="00FC4136"/>
    <w:rsid w:val="00FE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280C"/>
  <w15:chartTrackingRefBased/>
  <w15:docId w15:val="{B437D7A7-DF0B-4659-A3A9-FD26A641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2CE5"/>
    <w:pPr>
      <w:widowControl w:val="0"/>
      <w:autoSpaceDE w:val="0"/>
      <w:autoSpaceDN w:val="0"/>
    </w:pPr>
    <w:rPr>
      <w:rFonts w:ascii="Calibri" w:eastAsia="Calibri" w:hAnsi="Calibri" w:cs="Calibri"/>
      <w:kern w:val="0"/>
      <w:sz w:val="22"/>
      <w:szCs w:val="22"/>
      <w14:ligatures w14:val="none"/>
    </w:rPr>
  </w:style>
  <w:style w:type="paragraph" w:styleId="Heading1">
    <w:name w:val="heading 1"/>
    <w:basedOn w:val="Normal"/>
    <w:next w:val="Normal"/>
    <w:link w:val="Heading1Char"/>
    <w:qFormat/>
    <w:rsid w:val="00E12C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E12C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12CE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E12CE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E12CE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E12C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E12C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E12C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E12C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CE5"/>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semiHidden/>
    <w:rsid w:val="00E12CE5"/>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semiHidden/>
    <w:rsid w:val="00E12CE5"/>
    <w:rPr>
      <w:rFonts w:asciiTheme="minorHAnsi" w:eastAsiaTheme="majorEastAsia" w:hAnsiTheme="minorHAnsi" w:cstheme="majorBidi"/>
      <w:color w:val="2F5496" w:themeColor="accent1" w:themeShade="BF"/>
      <w:kern w:val="0"/>
      <w:sz w:val="28"/>
      <w:szCs w:val="28"/>
      <w14:ligatures w14:val="none"/>
    </w:rPr>
  </w:style>
  <w:style w:type="character" w:customStyle="1" w:styleId="Heading4Char">
    <w:name w:val="Heading 4 Char"/>
    <w:basedOn w:val="DefaultParagraphFont"/>
    <w:link w:val="Heading4"/>
    <w:semiHidden/>
    <w:rsid w:val="00E12CE5"/>
    <w:rPr>
      <w:rFonts w:asciiTheme="minorHAnsi" w:eastAsiaTheme="majorEastAsia" w:hAnsiTheme="min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semiHidden/>
    <w:rsid w:val="00E12CE5"/>
    <w:rPr>
      <w:rFonts w:asciiTheme="minorHAnsi" w:eastAsiaTheme="majorEastAsia" w:hAnsiTheme="min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semiHidden/>
    <w:rsid w:val="00E12CE5"/>
    <w:rPr>
      <w:rFonts w:asciiTheme="minorHAnsi" w:eastAsiaTheme="majorEastAsia" w:hAnsiTheme="minorHAnsi"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semiHidden/>
    <w:rsid w:val="00E12CE5"/>
    <w:rPr>
      <w:rFonts w:asciiTheme="minorHAnsi" w:eastAsiaTheme="majorEastAsia" w:hAnsiTheme="minorHAnsi" w:cstheme="majorBidi"/>
      <w:color w:val="595959" w:themeColor="text1" w:themeTint="A6"/>
      <w:kern w:val="0"/>
      <w:sz w:val="24"/>
      <w:szCs w:val="24"/>
      <w14:ligatures w14:val="none"/>
    </w:rPr>
  </w:style>
  <w:style w:type="character" w:customStyle="1" w:styleId="Heading8Char">
    <w:name w:val="Heading 8 Char"/>
    <w:basedOn w:val="DefaultParagraphFont"/>
    <w:link w:val="Heading8"/>
    <w:semiHidden/>
    <w:rsid w:val="00E12CE5"/>
    <w:rPr>
      <w:rFonts w:asciiTheme="minorHAnsi" w:eastAsiaTheme="majorEastAsia" w:hAnsiTheme="minorHAnsi"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semiHidden/>
    <w:rsid w:val="00E12CE5"/>
    <w:rPr>
      <w:rFonts w:asciiTheme="minorHAnsi" w:eastAsiaTheme="majorEastAsia" w:hAnsiTheme="minorHAnsi" w:cstheme="majorBidi"/>
      <w:color w:val="272727" w:themeColor="text1" w:themeTint="D8"/>
      <w:kern w:val="0"/>
      <w:sz w:val="24"/>
      <w:szCs w:val="24"/>
      <w14:ligatures w14:val="none"/>
    </w:rPr>
  </w:style>
  <w:style w:type="paragraph" w:styleId="Title">
    <w:name w:val="Title"/>
    <w:basedOn w:val="Normal"/>
    <w:next w:val="Normal"/>
    <w:link w:val="TitleChar"/>
    <w:qFormat/>
    <w:rsid w:val="00E12C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2CE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E12C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12CE5"/>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12C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CE5"/>
    <w:rPr>
      <w:i/>
      <w:iCs/>
      <w:color w:val="404040" w:themeColor="text1" w:themeTint="BF"/>
      <w:kern w:val="0"/>
      <w:sz w:val="24"/>
      <w:szCs w:val="24"/>
      <w14:ligatures w14:val="none"/>
    </w:rPr>
  </w:style>
  <w:style w:type="paragraph" w:styleId="ListParagraph">
    <w:name w:val="List Paragraph"/>
    <w:basedOn w:val="Normal"/>
    <w:uiPriority w:val="34"/>
    <w:qFormat/>
    <w:rsid w:val="00E12CE5"/>
    <w:pPr>
      <w:ind w:left="720"/>
      <w:contextualSpacing/>
    </w:pPr>
  </w:style>
  <w:style w:type="character" w:styleId="IntenseEmphasis">
    <w:name w:val="Intense Emphasis"/>
    <w:basedOn w:val="DefaultParagraphFont"/>
    <w:uiPriority w:val="21"/>
    <w:qFormat/>
    <w:rsid w:val="00E12CE5"/>
    <w:rPr>
      <w:i/>
      <w:iCs/>
      <w:color w:val="2F5496" w:themeColor="accent1" w:themeShade="BF"/>
    </w:rPr>
  </w:style>
  <w:style w:type="paragraph" w:styleId="IntenseQuote">
    <w:name w:val="Intense Quote"/>
    <w:basedOn w:val="Normal"/>
    <w:next w:val="Normal"/>
    <w:link w:val="IntenseQuoteChar"/>
    <w:uiPriority w:val="30"/>
    <w:qFormat/>
    <w:rsid w:val="00E12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CE5"/>
    <w:rPr>
      <w:i/>
      <w:iCs/>
      <w:color w:val="2F5496" w:themeColor="accent1" w:themeShade="BF"/>
      <w:kern w:val="0"/>
      <w:sz w:val="24"/>
      <w:szCs w:val="24"/>
      <w14:ligatures w14:val="none"/>
    </w:rPr>
  </w:style>
  <w:style w:type="character" w:styleId="IntenseReference">
    <w:name w:val="Intense Reference"/>
    <w:basedOn w:val="DefaultParagraphFont"/>
    <w:uiPriority w:val="32"/>
    <w:qFormat/>
    <w:rsid w:val="00E12CE5"/>
    <w:rPr>
      <w:b/>
      <w:bCs/>
      <w:smallCaps/>
      <w:color w:val="2F5496" w:themeColor="accent1" w:themeShade="BF"/>
      <w:spacing w:val="5"/>
    </w:rPr>
  </w:style>
  <w:style w:type="paragraph" w:styleId="BodyText">
    <w:name w:val="Body Text"/>
    <w:basedOn w:val="Normal"/>
    <w:link w:val="BodyTextChar"/>
    <w:uiPriority w:val="1"/>
    <w:qFormat/>
    <w:rsid w:val="00E12CE5"/>
  </w:style>
  <w:style w:type="character" w:customStyle="1" w:styleId="BodyTextChar">
    <w:name w:val="Body Text Char"/>
    <w:basedOn w:val="DefaultParagraphFont"/>
    <w:link w:val="BodyText"/>
    <w:uiPriority w:val="1"/>
    <w:rsid w:val="00E12CE5"/>
    <w:rPr>
      <w:rFonts w:ascii="Calibri" w:eastAsia="Calibri" w:hAnsi="Calibri" w:cs="Calibri"/>
      <w:kern w:val="0"/>
      <w:sz w:val="22"/>
      <w:szCs w:val="22"/>
      <w14:ligatures w14:val="none"/>
    </w:rPr>
  </w:style>
  <w:style w:type="paragraph" w:styleId="PlainText">
    <w:name w:val="Plain Text"/>
    <w:basedOn w:val="Normal"/>
    <w:link w:val="PlainTextChar"/>
    <w:uiPriority w:val="99"/>
    <w:unhideWhenUsed/>
    <w:rsid w:val="00E12CE5"/>
    <w:pPr>
      <w:widowControl/>
      <w:autoSpaceDE/>
      <w:autoSpaceDN/>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E12CE5"/>
    <w:rPr>
      <w:rFonts w:ascii="Calibri" w:eastAsiaTheme="minorHAnsi" w:hAnsi="Calibri" w:cstheme="minorBidi"/>
      <w:sz w:val="22"/>
      <w:szCs w:val="21"/>
    </w:rPr>
  </w:style>
  <w:style w:type="paragraph" w:styleId="Header">
    <w:name w:val="header"/>
    <w:basedOn w:val="Normal"/>
    <w:link w:val="HeaderChar"/>
    <w:uiPriority w:val="99"/>
    <w:unhideWhenUsed/>
    <w:rsid w:val="00DC28AB"/>
    <w:pPr>
      <w:tabs>
        <w:tab w:val="center" w:pos="4680"/>
        <w:tab w:val="right" w:pos="9360"/>
      </w:tabs>
    </w:pPr>
  </w:style>
  <w:style w:type="character" w:customStyle="1" w:styleId="HeaderChar">
    <w:name w:val="Header Char"/>
    <w:basedOn w:val="DefaultParagraphFont"/>
    <w:link w:val="Header"/>
    <w:uiPriority w:val="99"/>
    <w:rsid w:val="00DC28AB"/>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DC28AB"/>
    <w:pPr>
      <w:tabs>
        <w:tab w:val="center" w:pos="4680"/>
        <w:tab w:val="right" w:pos="9360"/>
      </w:tabs>
    </w:pPr>
  </w:style>
  <w:style w:type="character" w:customStyle="1" w:styleId="FooterChar">
    <w:name w:val="Footer Char"/>
    <w:basedOn w:val="DefaultParagraphFont"/>
    <w:link w:val="Footer"/>
    <w:uiPriority w:val="99"/>
    <w:rsid w:val="00DC28AB"/>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jennings</dc:creator>
  <cp:keywords/>
  <dc:description/>
  <cp:lastModifiedBy>Debbie Jennings</cp:lastModifiedBy>
  <cp:revision>3</cp:revision>
  <cp:lastPrinted>2025-08-01T16:23:00Z</cp:lastPrinted>
  <dcterms:created xsi:type="dcterms:W3CDTF">2025-08-01T16:06:00Z</dcterms:created>
  <dcterms:modified xsi:type="dcterms:W3CDTF">2025-08-01T16:34:00Z</dcterms:modified>
</cp:coreProperties>
</file>